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AA0D" w14:textId="15506EC3" w:rsidR="007D3FFF" w:rsidRPr="007D3FFF" w:rsidRDefault="007D3FFF" w:rsidP="007D3FFF">
      <w:pPr>
        <w:pStyle w:val="yiv5045060239ydp797545d2yiv3943452229msonormal"/>
        <w:shd w:val="clear" w:color="auto" w:fill="FFFFFF"/>
        <w:spacing w:before="0" w:beforeAutospacing="0" w:after="0" w:afterAutospacing="0"/>
        <w:rPr>
          <w:rFonts w:asciiTheme="minorHAnsi" w:hAnsiTheme="minorHAnsi" w:cstheme="minorHAnsi"/>
          <w:color w:val="26282A"/>
          <w:sz w:val="20"/>
          <w:szCs w:val="20"/>
        </w:rPr>
      </w:pPr>
    </w:p>
    <w:p w14:paraId="57DC5CA2" w14:textId="77777777" w:rsidR="006D4C68" w:rsidRDefault="006D4C68" w:rsidP="007D3FFF">
      <w:pPr>
        <w:pStyle w:val="yiv5045060239ydp797545d2yiv3943452229msonormal"/>
        <w:shd w:val="clear" w:color="auto" w:fill="FFFFFF"/>
        <w:spacing w:before="0" w:beforeAutospacing="0" w:after="0" w:afterAutospacing="0"/>
        <w:rPr>
          <w:rFonts w:asciiTheme="minorHAnsi" w:hAnsiTheme="minorHAnsi" w:cstheme="minorHAnsi"/>
          <w:color w:val="26282A"/>
          <w:sz w:val="20"/>
          <w:szCs w:val="20"/>
        </w:rPr>
      </w:pPr>
    </w:p>
    <w:p w14:paraId="4A657332" w14:textId="0C76D0B4" w:rsidR="006D4C68" w:rsidRDefault="006D4C68" w:rsidP="007D3FFF">
      <w:pPr>
        <w:pStyle w:val="yiv5045060239ydp797545d2yiv3943452229msonormal"/>
        <w:shd w:val="clear" w:color="auto" w:fill="FFFFFF"/>
        <w:spacing w:before="0" w:beforeAutospacing="0" w:after="0" w:afterAutospacing="0"/>
        <w:rPr>
          <w:rFonts w:asciiTheme="minorHAnsi" w:hAnsiTheme="minorHAnsi" w:cstheme="minorHAnsi"/>
          <w:color w:val="26282A"/>
          <w:sz w:val="20"/>
          <w:szCs w:val="20"/>
        </w:rPr>
      </w:pPr>
      <w:r>
        <w:rPr>
          <w:noProof/>
        </w:rPr>
        <w:drawing>
          <wp:inline distT="0" distB="0" distL="0" distR="0" wp14:anchorId="45313693" wp14:editId="64C373A8">
            <wp:extent cx="2827547"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2418" cy="1355833"/>
                    </a:xfrm>
                    <a:prstGeom prst="rect">
                      <a:avLst/>
                    </a:prstGeom>
                    <a:noFill/>
                    <a:ln>
                      <a:noFill/>
                    </a:ln>
                  </pic:spPr>
                </pic:pic>
              </a:graphicData>
            </a:graphic>
          </wp:inline>
        </w:drawing>
      </w:r>
    </w:p>
    <w:p w14:paraId="5843A756" w14:textId="77777777" w:rsidR="006D4C68" w:rsidRDefault="006D4C68" w:rsidP="007D3FFF">
      <w:pPr>
        <w:pStyle w:val="yiv5045060239ydp797545d2yiv3943452229msonormal"/>
        <w:shd w:val="clear" w:color="auto" w:fill="FFFFFF"/>
        <w:spacing w:before="0" w:beforeAutospacing="0" w:after="0" w:afterAutospacing="0"/>
        <w:rPr>
          <w:rFonts w:asciiTheme="minorHAnsi" w:hAnsiTheme="minorHAnsi" w:cstheme="minorHAnsi"/>
          <w:color w:val="26282A"/>
          <w:sz w:val="20"/>
          <w:szCs w:val="20"/>
        </w:rPr>
      </w:pPr>
    </w:p>
    <w:p w14:paraId="3BB88BDD" w14:textId="3938EF5D" w:rsidR="007D3FFF" w:rsidRPr="006D4C68" w:rsidRDefault="007D3FFF" w:rsidP="007D3FFF">
      <w:pPr>
        <w:pStyle w:val="yiv5045060239ydp797545d2yiv3943452229msonormal"/>
        <w:shd w:val="clear" w:color="auto" w:fill="FFFFFF"/>
        <w:spacing w:before="0" w:beforeAutospacing="0" w:after="0" w:afterAutospacing="0"/>
        <w:rPr>
          <w:rFonts w:ascii="Helvetica" w:hAnsi="Helvetica" w:cs="Helvetica"/>
          <w:b/>
          <w:bCs/>
          <w:color w:val="26282A"/>
          <w:sz w:val="18"/>
          <w:szCs w:val="18"/>
        </w:rPr>
      </w:pPr>
      <w:r w:rsidRPr="006D4C68">
        <w:rPr>
          <w:rFonts w:ascii="Helvetica" w:hAnsi="Helvetica" w:cs="Helvetica"/>
          <w:b/>
          <w:bCs/>
          <w:color w:val="26282A"/>
          <w:sz w:val="18"/>
          <w:szCs w:val="18"/>
        </w:rPr>
        <w:t>Join Your SAHRMA Peers by Participating in Gallagher’s Annual Benefits Survey</w:t>
      </w:r>
    </w:p>
    <w:p w14:paraId="31DA80A4" w14:textId="77777777" w:rsidR="007D3FFF" w:rsidRPr="006D4C68" w:rsidRDefault="007D3FFF" w:rsidP="007D3FFF">
      <w:pPr>
        <w:pStyle w:val="yiv5045060239ydp797545d2yiv3943452229msonormal"/>
        <w:shd w:val="clear" w:color="auto" w:fill="FFFFFF"/>
        <w:spacing w:before="0" w:beforeAutospacing="0" w:after="0" w:afterAutospacing="0"/>
        <w:rPr>
          <w:rFonts w:ascii="Helvetica" w:hAnsi="Helvetica" w:cs="Helvetica"/>
          <w:color w:val="26282A"/>
          <w:sz w:val="18"/>
          <w:szCs w:val="18"/>
        </w:rPr>
      </w:pPr>
      <w:r w:rsidRPr="006D4C68">
        <w:rPr>
          <w:rFonts w:ascii="Helvetica" w:hAnsi="Helvetica" w:cs="Helvetica"/>
          <w:color w:val="26282A"/>
          <w:sz w:val="18"/>
          <w:szCs w:val="18"/>
        </w:rPr>
        <w:t> </w:t>
      </w:r>
    </w:p>
    <w:p w14:paraId="2685E7E0" w14:textId="77777777" w:rsidR="007D3FFF" w:rsidRPr="006D4C68" w:rsidRDefault="007D3FFF" w:rsidP="007D3FFF">
      <w:pPr>
        <w:pStyle w:val="yiv5045060239ydp797545d2yiv3943452229msonormal"/>
        <w:shd w:val="clear" w:color="auto" w:fill="FFFFFF"/>
        <w:spacing w:before="0" w:beforeAutospacing="0" w:after="0" w:afterAutospacing="0"/>
        <w:rPr>
          <w:rFonts w:ascii="Helvetica" w:hAnsi="Helvetica" w:cs="Helvetica"/>
          <w:color w:val="26282A"/>
          <w:sz w:val="18"/>
          <w:szCs w:val="18"/>
        </w:rPr>
      </w:pPr>
      <w:r w:rsidRPr="006D4C68">
        <w:rPr>
          <w:rFonts w:ascii="Helvetica" w:hAnsi="Helvetica" w:cs="Helvetica"/>
          <w:color w:val="26282A"/>
          <w:sz w:val="18"/>
          <w:szCs w:val="18"/>
        </w:rPr>
        <w:t>Prepare to better attract and retain a competitive workforce by completing Gallagher’s 2022 </w:t>
      </w:r>
      <w:r w:rsidRPr="006D4C68">
        <w:rPr>
          <w:rFonts w:ascii="Helvetica" w:hAnsi="Helvetica" w:cs="Helvetica"/>
          <w:i/>
          <w:iCs/>
          <w:color w:val="26282A"/>
          <w:sz w:val="18"/>
          <w:szCs w:val="18"/>
        </w:rPr>
        <w:t>Benefits Strategy &amp; Benchmarking Survey</w:t>
      </w:r>
      <w:r w:rsidRPr="006D4C68">
        <w:rPr>
          <w:rFonts w:ascii="Helvetica" w:hAnsi="Helvetica" w:cs="Helvetica"/>
          <w:color w:val="26282A"/>
          <w:sz w:val="18"/>
          <w:szCs w:val="18"/>
        </w:rPr>
        <w:t>.</w:t>
      </w:r>
    </w:p>
    <w:p w14:paraId="7A1D3D1C" w14:textId="77777777" w:rsidR="007D3FFF" w:rsidRPr="006D4C68" w:rsidRDefault="007D3FFF" w:rsidP="007D3FFF">
      <w:pPr>
        <w:pStyle w:val="yiv5045060239ydp797545d2yiv3943452229msonormal"/>
        <w:shd w:val="clear" w:color="auto" w:fill="FFFFFF"/>
        <w:spacing w:before="0" w:beforeAutospacing="0" w:after="0" w:afterAutospacing="0"/>
        <w:jc w:val="both"/>
        <w:rPr>
          <w:rFonts w:ascii="Helvetica" w:hAnsi="Helvetica" w:cs="Helvetica"/>
          <w:color w:val="26282A"/>
          <w:sz w:val="18"/>
          <w:szCs w:val="18"/>
        </w:rPr>
      </w:pPr>
      <w:r w:rsidRPr="006D4C68">
        <w:rPr>
          <w:rFonts w:ascii="Helvetica" w:hAnsi="Helvetica" w:cs="Helvetica"/>
          <w:color w:val="26282A"/>
          <w:sz w:val="18"/>
          <w:szCs w:val="18"/>
        </w:rPr>
        <w:t> </w:t>
      </w:r>
    </w:p>
    <w:p w14:paraId="4EBE58FA" w14:textId="77777777" w:rsidR="007D3FFF" w:rsidRPr="006D4C68" w:rsidRDefault="007D3FFF" w:rsidP="007D3FFF">
      <w:pPr>
        <w:pStyle w:val="yiv5045060239ydp797545d2yiv3943452229msonormal"/>
        <w:shd w:val="clear" w:color="auto" w:fill="FFFFFF"/>
        <w:spacing w:before="0" w:beforeAutospacing="0" w:after="0" w:afterAutospacing="0"/>
        <w:rPr>
          <w:rFonts w:ascii="Helvetica" w:hAnsi="Helvetica" w:cs="Helvetica"/>
          <w:color w:val="26282A"/>
          <w:sz w:val="18"/>
          <w:szCs w:val="18"/>
        </w:rPr>
      </w:pPr>
      <w:r w:rsidRPr="006D4C68">
        <w:rPr>
          <w:rFonts w:ascii="Helvetica" w:hAnsi="Helvetica" w:cs="Helvetica"/>
          <w:color w:val="26282A"/>
          <w:sz w:val="18"/>
          <w:szCs w:val="18"/>
        </w:rPr>
        <w:t>Confidently face your future with informed strategies and decisions based on data. By participating in this research, your entire organization gains complimentary access to Gallagher’s 2022 Workforce Trends Report Series as outlined below. There will be a total of seven reports published in 2022 based on the results of this one survey.</w:t>
      </w:r>
    </w:p>
    <w:p w14:paraId="776847C2" w14:textId="77777777" w:rsidR="007D3FFF" w:rsidRPr="006D4C68" w:rsidRDefault="007D3FFF" w:rsidP="007D3FFF">
      <w:pPr>
        <w:pStyle w:val="yiv5045060239ydp797545d2yiv3943452229msonormal"/>
        <w:shd w:val="clear" w:color="auto" w:fill="FFFFFF"/>
        <w:spacing w:before="0" w:beforeAutospacing="0" w:after="0" w:afterAutospacing="0"/>
        <w:rPr>
          <w:rFonts w:ascii="Helvetica" w:hAnsi="Helvetica" w:cs="Helvetica"/>
          <w:color w:val="26282A"/>
          <w:sz w:val="18"/>
          <w:szCs w:val="18"/>
        </w:rPr>
      </w:pPr>
      <w:r w:rsidRPr="006D4C68">
        <w:rPr>
          <w:rFonts w:ascii="Helvetica" w:hAnsi="Helvetica" w:cs="Helvetica"/>
          <w:color w:val="26282A"/>
          <w:sz w:val="18"/>
          <w:szCs w:val="18"/>
        </w:rPr>
        <w:t> </w:t>
      </w:r>
    </w:p>
    <w:p w14:paraId="7695CE9E"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People &amp; Organizational Wellbeing Strategy</w:t>
      </w:r>
    </w:p>
    <w:p w14:paraId="6C246806"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Physical &amp; Emotional Wellbeing</w:t>
      </w:r>
    </w:p>
    <w:p w14:paraId="4BB7AC49"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Career Wellbeing</w:t>
      </w:r>
    </w:p>
    <w:p w14:paraId="60593AF8"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Financial Wellbeing</w:t>
      </w:r>
    </w:p>
    <w:p w14:paraId="5A381CC0"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Organizational Wellbeing</w:t>
      </w:r>
    </w:p>
    <w:p w14:paraId="35B3D7BA"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Best-in-Class Benchmarking Analysis</w:t>
      </w:r>
    </w:p>
    <w:p w14:paraId="4F67DC93" w14:textId="77777777" w:rsidR="007D3FFF" w:rsidRPr="006D4C68" w:rsidRDefault="007D3FFF" w:rsidP="007D3FFF">
      <w:pPr>
        <w:pStyle w:val="yiv5045060239ydp797545d2yiv3943452229msolistparagraph"/>
        <w:numPr>
          <w:ilvl w:val="0"/>
          <w:numId w:val="1"/>
        </w:numPr>
        <w:shd w:val="clear" w:color="auto" w:fill="FFFFFF"/>
        <w:spacing w:before="0" w:beforeAutospacing="0" w:after="0" w:afterAutospacing="0" w:line="224" w:lineRule="atLeast"/>
        <w:jc w:val="both"/>
        <w:rPr>
          <w:rFonts w:ascii="Helvetica" w:hAnsi="Helvetica" w:cs="Helvetica"/>
          <w:color w:val="26282A"/>
          <w:sz w:val="18"/>
          <w:szCs w:val="18"/>
        </w:rPr>
      </w:pPr>
      <w:r w:rsidRPr="006D4C68">
        <w:rPr>
          <w:rFonts w:ascii="Helvetica" w:hAnsi="Helvetica" w:cs="Helvetica"/>
          <w:color w:val="26282A"/>
          <w:sz w:val="18"/>
          <w:szCs w:val="18"/>
        </w:rPr>
        <w:t>State of the Sector: Internal Communications &amp; Employee Experience</w:t>
      </w:r>
    </w:p>
    <w:p w14:paraId="69814400" w14:textId="77777777" w:rsidR="006D4C68" w:rsidRDefault="006D4C68" w:rsidP="007D3FFF">
      <w:pPr>
        <w:pStyle w:val="yiv5045060239ydp797545d2yiv3943452229msonormal"/>
        <w:shd w:val="clear" w:color="auto" w:fill="FFFFFF"/>
        <w:spacing w:before="0" w:beforeAutospacing="0" w:after="0" w:afterAutospacing="0"/>
        <w:jc w:val="both"/>
        <w:rPr>
          <w:rFonts w:ascii="Helvetica" w:hAnsi="Helvetica" w:cs="Helvetica"/>
          <w:color w:val="26282A"/>
          <w:sz w:val="18"/>
          <w:szCs w:val="18"/>
        </w:rPr>
      </w:pPr>
    </w:p>
    <w:p w14:paraId="5E85E3B8" w14:textId="2B73FBB4" w:rsidR="007D3FFF" w:rsidRPr="006D4C68" w:rsidRDefault="007D3FFF" w:rsidP="007D3FFF">
      <w:pPr>
        <w:pStyle w:val="yiv5045060239ydp797545d2yiv3943452229msonormal"/>
        <w:shd w:val="clear" w:color="auto" w:fill="FFFFFF"/>
        <w:spacing w:before="0" w:beforeAutospacing="0" w:after="0" w:afterAutospacing="0"/>
        <w:jc w:val="both"/>
        <w:rPr>
          <w:rFonts w:ascii="Helvetica" w:hAnsi="Helvetica" w:cs="Helvetica"/>
          <w:color w:val="26282A"/>
          <w:sz w:val="18"/>
          <w:szCs w:val="18"/>
        </w:rPr>
      </w:pPr>
      <w:r w:rsidRPr="006D4C68">
        <w:rPr>
          <w:rFonts w:ascii="Helvetica" w:hAnsi="Helvetica" w:cs="Helvetica"/>
          <w:color w:val="26282A"/>
          <w:sz w:val="18"/>
          <w:szCs w:val="18"/>
        </w:rPr>
        <w:t xml:space="preserve">You can preview the 2021 Workforce Trends Report Series data by reviewing the </w:t>
      </w:r>
      <w:hyperlink r:id="rId6" w:history="1">
        <w:r w:rsidR="006D4C68" w:rsidRPr="00155FEB">
          <w:rPr>
            <w:rStyle w:val="Hyperlink"/>
            <w:rFonts w:ascii="Helvetica" w:hAnsi="Helvetica" w:cs="Helvetica"/>
            <w:sz w:val="18"/>
            <w:szCs w:val="18"/>
          </w:rPr>
          <w:t>R</w:t>
        </w:r>
        <w:r w:rsidRPr="00155FEB">
          <w:rPr>
            <w:rStyle w:val="Hyperlink"/>
            <w:rFonts w:ascii="Helvetica" w:hAnsi="Helvetica" w:cs="Helvetica"/>
            <w:sz w:val="18"/>
            <w:szCs w:val="18"/>
          </w:rPr>
          <w:t>eport</w:t>
        </w:r>
      </w:hyperlink>
      <w:r w:rsidRPr="006D4C68">
        <w:rPr>
          <w:rFonts w:ascii="Helvetica" w:hAnsi="Helvetica" w:cs="Helvetica"/>
          <w:color w:val="26282A"/>
          <w:sz w:val="18"/>
          <w:szCs w:val="18"/>
        </w:rPr>
        <w:t>. 2022 survey participants will have complimentary access to the full set of 2022 reports.</w:t>
      </w:r>
    </w:p>
    <w:p w14:paraId="517DEE66" w14:textId="77777777" w:rsidR="007D3FFF" w:rsidRPr="006D4C68" w:rsidRDefault="007D3FFF" w:rsidP="007D3FFF">
      <w:pPr>
        <w:pStyle w:val="yiv5045060239ydp797545d2yiv3943452229msonormal"/>
        <w:shd w:val="clear" w:color="auto" w:fill="FFFFFF"/>
        <w:spacing w:before="0" w:beforeAutospacing="0" w:after="0" w:afterAutospacing="0"/>
        <w:jc w:val="both"/>
        <w:rPr>
          <w:rFonts w:ascii="Helvetica" w:hAnsi="Helvetica" w:cs="Helvetica"/>
          <w:color w:val="26282A"/>
          <w:sz w:val="18"/>
          <w:szCs w:val="18"/>
        </w:rPr>
      </w:pPr>
      <w:r w:rsidRPr="006D4C68">
        <w:rPr>
          <w:rFonts w:ascii="Helvetica" w:hAnsi="Helvetica" w:cs="Helvetica"/>
          <w:color w:val="26282A"/>
          <w:sz w:val="18"/>
          <w:szCs w:val="18"/>
        </w:rPr>
        <w:t> </w:t>
      </w:r>
    </w:p>
    <w:p w14:paraId="672F8FC0" w14:textId="77777777" w:rsidR="007D3FFF" w:rsidRPr="006D4C68" w:rsidRDefault="007D3FFF" w:rsidP="007D3FFF">
      <w:pPr>
        <w:pStyle w:val="yiv5045060239ydp797545d2yiv3943452229msobodytext"/>
        <w:shd w:val="clear" w:color="auto" w:fill="FFFFFF"/>
        <w:spacing w:before="0" w:beforeAutospacing="0" w:after="0" w:afterAutospacing="0"/>
        <w:rPr>
          <w:rFonts w:ascii="Helvetica" w:hAnsi="Helvetica" w:cs="Helvetica"/>
          <w:color w:val="26282A"/>
          <w:sz w:val="18"/>
          <w:szCs w:val="18"/>
        </w:rPr>
      </w:pPr>
      <w:r w:rsidRPr="006D4C68">
        <w:rPr>
          <w:rFonts w:ascii="Helvetica" w:hAnsi="Helvetica" w:cs="Helvetica"/>
          <w:color w:val="26282A"/>
          <w:sz w:val="18"/>
          <w:szCs w:val="18"/>
        </w:rPr>
        <w:t>If 25 or more different organizations who are SAHRMA members participate in the survey, Gallagher will be able to provide SAHRMA members with local benchmark data based on the results. This is in addition to the national data that will be provided.</w:t>
      </w:r>
    </w:p>
    <w:p w14:paraId="26AAAAA5" w14:textId="77777777" w:rsidR="007D3FFF" w:rsidRPr="006D4C68" w:rsidRDefault="007D3FFF" w:rsidP="007D3FFF">
      <w:pPr>
        <w:pStyle w:val="yiv5045060239ydp797545d2yiv3943452229msobodytext"/>
        <w:shd w:val="clear" w:color="auto" w:fill="FFFFFF"/>
        <w:rPr>
          <w:rFonts w:ascii="Helvetica" w:hAnsi="Helvetica" w:cs="Helvetica"/>
          <w:color w:val="26282A"/>
          <w:sz w:val="18"/>
          <w:szCs w:val="18"/>
        </w:rPr>
      </w:pPr>
      <w:r w:rsidRPr="006D4C68">
        <w:rPr>
          <w:rFonts w:ascii="Helvetica" w:hAnsi="Helvetica" w:cs="Helvetica"/>
          <w:color w:val="26282A"/>
          <w:sz w:val="18"/>
          <w:szCs w:val="18"/>
        </w:rPr>
        <w:t>Click here to register for your unique survey link: </w:t>
      </w:r>
      <w:hyperlink r:id="rId7" w:tgtFrame="_blank" w:history="1">
        <w:r w:rsidRPr="006D4C68">
          <w:rPr>
            <w:rStyle w:val="Hyperlink"/>
            <w:rFonts w:ascii="Helvetica" w:hAnsi="Helvetica" w:cs="Helvetica"/>
            <w:color w:val="338FE9"/>
            <w:sz w:val="18"/>
            <w:szCs w:val="18"/>
          </w:rPr>
          <w:t>www.ajg.com/2022NBS-SAHRMA</w:t>
        </w:r>
      </w:hyperlink>
    </w:p>
    <w:p w14:paraId="45C76914" w14:textId="77777777" w:rsidR="007D3FFF" w:rsidRDefault="007D3FFF"/>
    <w:sectPr w:rsidR="007D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50786"/>
    <w:multiLevelType w:val="multilevel"/>
    <w:tmpl w:val="B10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FF"/>
    <w:rsid w:val="00155FEB"/>
    <w:rsid w:val="006D4C68"/>
    <w:rsid w:val="006D5575"/>
    <w:rsid w:val="007D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9364"/>
  <w15:chartTrackingRefBased/>
  <w15:docId w15:val="{67E977B1-53C5-45B7-999D-756C1C34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45060239ydp797545d2yiv3943452229msonormal">
    <w:name w:val="yiv5045060239ydp797545d2yiv3943452229msonormal"/>
    <w:basedOn w:val="Normal"/>
    <w:rsid w:val="007D3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FFF"/>
    <w:rPr>
      <w:color w:val="0000FF"/>
      <w:u w:val="single"/>
    </w:rPr>
  </w:style>
  <w:style w:type="paragraph" w:customStyle="1" w:styleId="yiv5045060239ydp797545d2yiv3943452229msobodytext">
    <w:name w:val="yiv5045060239ydp797545d2yiv3943452229msobodytext"/>
    <w:basedOn w:val="Normal"/>
    <w:rsid w:val="007D3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45060239ydp797545d2yiv3943452229msolistparagraph">
    <w:name w:val="yiv5045060239ydp797545d2yiv3943452229msolistparagraph"/>
    <w:basedOn w:val="Normal"/>
    <w:rsid w:val="007D3FF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jg.com/2022NBS-SAHR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21%20WFTR_People%20and%20Organizational%20%20Wellbeing%20Strateg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Rosas</dc:creator>
  <cp:keywords/>
  <dc:description/>
  <cp:lastModifiedBy>Celia Rosas</cp:lastModifiedBy>
  <cp:revision>3</cp:revision>
  <dcterms:created xsi:type="dcterms:W3CDTF">2021-12-21T23:20:00Z</dcterms:created>
  <dcterms:modified xsi:type="dcterms:W3CDTF">2021-12-21T23:48:00Z</dcterms:modified>
</cp:coreProperties>
</file>